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90" w:rsidRPr="002957D6" w:rsidRDefault="003178F5" w:rsidP="00A32D90">
      <w:pPr>
        <w:jc w:val="both"/>
        <w:rPr>
          <w:rFonts w:ascii="Arial" w:hAnsi="Arial" w:cs="Arial"/>
        </w:rPr>
      </w:pPr>
      <w:r>
        <w:rPr>
          <w:rFonts w:ascii="Arial" w:hAnsi="Arial" w:cs="Arial"/>
          <w:noProof/>
          <w:color w:val="FF000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35pt;margin-top:13.35pt;width:74.55pt;height:52.45pt;z-index:251659264;mso-wrap-edited:f" wrapcoords="-163 0 -163 21135 21600 21135 21600 0 -163 0">
            <v:imagedata r:id="rId7" o:title=""/>
            <w10:wrap type="tight"/>
          </v:shape>
          <o:OLEObject Type="Embed" ProgID="MSPhotoEd.3" ShapeID="_x0000_s1026" DrawAspect="Content" ObjectID="_1566812852" r:id="rId8"/>
        </w:object>
      </w:r>
    </w:p>
    <w:p w:rsidR="00A32D90" w:rsidRPr="002957D6" w:rsidRDefault="00A32D90" w:rsidP="00A32D90">
      <w:pPr>
        <w:jc w:val="both"/>
        <w:rPr>
          <w:rFonts w:ascii="Arial" w:hAnsi="Arial" w:cs="Arial"/>
        </w:rPr>
      </w:pPr>
    </w:p>
    <w:p w:rsidR="00A32D90" w:rsidRPr="002957D6" w:rsidRDefault="00A32D90" w:rsidP="00A32D90">
      <w:pPr>
        <w:ind w:left="1069"/>
        <w:jc w:val="both"/>
        <w:rPr>
          <w:rFonts w:ascii="Arial" w:hAnsi="Arial" w:cs="Arial"/>
        </w:rPr>
      </w:pPr>
    </w:p>
    <w:p w:rsidR="00A32D90" w:rsidRPr="002957D6" w:rsidRDefault="00A32D90" w:rsidP="00A32D90">
      <w:pPr>
        <w:jc w:val="right"/>
        <w:rPr>
          <w:rFonts w:ascii="Arial" w:hAnsi="Arial" w:cs="Arial"/>
          <w:b/>
          <w:sz w:val="40"/>
          <w:szCs w:val="40"/>
        </w:rPr>
      </w:pPr>
      <w:r w:rsidRPr="002957D6">
        <w:rPr>
          <w:rFonts w:ascii="Arial" w:hAnsi="Arial" w:cs="Arial"/>
          <w:b/>
          <w:sz w:val="40"/>
          <w:szCs w:val="40"/>
        </w:rPr>
        <w:t>Bicycles, Scooters or Skateboards Policy</w:t>
      </w:r>
    </w:p>
    <w:p w:rsidR="00A32D90" w:rsidRPr="002957D6" w:rsidRDefault="00A32D90" w:rsidP="00A32D90">
      <w:pPr>
        <w:pStyle w:val="Subtitle"/>
        <w:ind w:left="0"/>
        <w:jc w:val="left"/>
        <w:rPr>
          <w:rFonts w:ascii="Arial" w:hAnsi="Arial" w:cs="Arial"/>
          <w:u w:val="single"/>
        </w:rPr>
      </w:pPr>
    </w:p>
    <w:p w:rsidR="00A32D90" w:rsidRPr="005826E6" w:rsidRDefault="00A32D90" w:rsidP="00A32D90">
      <w:pPr>
        <w:jc w:val="both"/>
        <w:rPr>
          <w:rFonts w:ascii="Arial" w:hAnsi="Arial" w:cs="Arial"/>
          <w:b/>
        </w:rPr>
      </w:pPr>
      <w:r w:rsidRPr="005826E6">
        <w:rPr>
          <w:rFonts w:ascii="Arial" w:hAnsi="Arial" w:cs="Arial"/>
          <w:b/>
          <w:u w:val="single"/>
        </w:rPr>
        <w:t>Rationale</w:t>
      </w:r>
      <w:r w:rsidRPr="005826E6">
        <w:rPr>
          <w:rFonts w:ascii="Arial" w:hAnsi="Arial" w:cs="Arial"/>
          <w:b/>
        </w:rPr>
        <w:t>:</w:t>
      </w:r>
    </w:p>
    <w:p w:rsidR="00A32D90" w:rsidRPr="005826E6" w:rsidRDefault="00A32D90" w:rsidP="00A32D90">
      <w:pPr>
        <w:jc w:val="both"/>
        <w:rPr>
          <w:rFonts w:ascii="Arial" w:hAnsi="Arial" w:cs="Arial"/>
          <w:strike/>
        </w:rPr>
      </w:pPr>
    </w:p>
    <w:p w:rsidR="00A32D90" w:rsidRPr="005826E6" w:rsidRDefault="00A32D90" w:rsidP="00A32D90">
      <w:pPr>
        <w:jc w:val="both"/>
        <w:rPr>
          <w:rFonts w:ascii="Arial" w:hAnsi="Arial" w:cs="Arial"/>
        </w:rPr>
      </w:pPr>
      <w:r w:rsidRPr="005826E6">
        <w:rPr>
          <w:rFonts w:ascii="Arial" w:hAnsi="Arial" w:cs="Arial"/>
        </w:rPr>
        <w:t xml:space="preserve">To minimise risk for students travelling to and from school, in respect to using bicycles, scooters and skateboards. </w:t>
      </w:r>
    </w:p>
    <w:p w:rsidR="00A32D90" w:rsidRPr="005826E6" w:rsidRDefault="00A32D90" w:rsidP="00A32D90">
      <w:pPr>
        <w:ind w:left="709"/>
        <w:jc w:val="both"/>
        <w:rPr>
          <w:rFonts w:ascii="Arial" w:hAnsi="Arial" w:cs="Arial"/>
        </w:rPr>
      </w:pPr>
    </w:p>
    <w:p w:rsidR="00A32D90" w:rsidRPr="005826E6" w:rsidRDefault="00A32D90" w:rsidP="00A32D90">
      <w:pPr>
        <w:jc w:val="both"/>
        <w:rPr>
          <w:rFonts w:ascii="Arial" w:hAnsi="Arial" w:cs="Arial"/>
          <w:b/>
        </w:rPr>
      </w:pPr>
      <w:r w:rsidRPr="005826E6">
        <w:rPr>
          <w:rFonts w:ascii="Arial" w:hAnsi="Arial" w:cs="Arial"/>
          <w:b/>
          <w:u w:val="single"/>
        </w:rPr>
        <w:t>Aims</w:t>
      </w:r>
      <w:r w:rsidRPr="005826E6">
        <w:rPr>
          <w:rFonts w:ascii="Arial" w:hAnsi="Arial" w:cs="Arial"/>
          <w:b/>
        </w:rPr>
        <w:t>:</w:t>
      </w:r>
    </w:p>
    <w:p w:rsidR="00A32D90" w:rsidRPr="005826E6" w:rsidRDefault="00A32D90" w:rsidP="00A32D90">
      <w:pPr>
        <w:ind w:left="709"/>
        <w:jc w:val="both"/>
        <w:rPr>
          <w:rFonts w:ascii="Arial" w:hAnsi="Arial" w:cs="Arial"/>
          <w:b/>
        </w:rPr>
      </w:pPr>
    </w:p>
    <w:p w:rsidR="00A32D90" w:rsidRPr="005826E6" w:rsidRDefault="00A32D90" w:rsidP="00A32D90">
      <w:pPr>
        <w:jc w:val="both"/>
        <w:rPr>
          <w:rFonts w:ascii="Arial" w:hAnsi="Arial" w:cs="Arial"/>
        </w:rPr>
      </w:pPr>
      <w:r w:rsidRPr="005826E6">
        <w:rPr>
          <w:rFonts w:ascii="Arial" w:hAnsi="Arial" w:cs="Arial"/>
        </w:rPr>
        <w:t>To provide guidelines for the use of bicycles, scooters and skateboards in the school environment, which are sa</w:t>
      </w:r>
      <w:r w:rsidR="00E144EF" w:rsidRPr="005826E6">
        <w:rPr>
          <w:rFonts w:ascii="Arial" w:hAnsi="Arial" w:cs="Arial"/>
        </w:rPr>
        <w:t>fe and in line with the school’s</w:t>
      </w:r>
      <w:r w:rsidRPr="005826E6">
        <w:rPr>
          <w:rFonts w:ascii="Arial" w:hAnsi="Arial" w:cs="Arial"/>
        </w:rPr>
        <w:t xml:space="preserve"> duty of care toward all.</w:t>
      </w:r>
    </w:p>
    <w:p w:rsidR="00A32D90" w:rsidRPr="005826E6" w:rsidRDefault="00A32D90" w:rsidP="00A32D90">
      <w:pPr>
        <w:ind w:left="709"/>
        <w:jc w:val="both"/>
        <w:rPr>
          <w:rFonts w:ascii="Arial" w:hAnsi="Arial" w:cs="Arial"/>
        </w:rPr>
      </w:pPr>
    </w:p>
    <w:p w:rsidR="00A32D90" w:rsidRPr="005826E6" w:rsidRDefault="00A32D90" w:rsidP="00A32D90">
      <w:pPr>
        <w:jc w:val="both"/>
        <w:rPr>
          <w:rFonts w:ascii="Arial" w:hAnsi="Arial" w:cs="Arial"/>
          <w:b/>
        </w:rPr>
      </w:pPr>
      <w:r w:rsidRPr="005826E6">
        <w:rPr>
          <w:rFonts w:ascii="Arial" w:hAnsi="Arial" w:cs="Arial"/>
          <w:b/>
          <w:u w:val="single"/>
        </w:rPr>
        <w:t>Implementation</w:t>
      </w:r>
      <w:r w:rsidRPr="005826E6">
        <w:rPr>
          <w:rFonts w:ascii="Arial" w:hAnsi="Arial" w:cs="Arial"/>
          <w:b/>
        </w:rPr>
        <w:t>:</w:t>
      </w:r>
    </w:p>
    <w:p w:rsidR="00A32D90" w:rsidRPr="005826E6" w:rsidRDefault="00A32D90" w:rsidP="00A32D90">
      <w:pPr>
        <w:numPr>
          <w:ilvl w:val="0"/>
          <w:numId w:val="2"/>
        </w:numPr>
        <w:jc w:val="both"/>
        <w:rPr>
          <w:rFonts w:ascii="Arial" w:hAnsi="Arial" w:cs="Arial"/>
        </w:rPr>
      </w:pPr>
      <w:r w:rsidRPr="005826E6">
        <w:rPr>
          <w:rFonts w:ascii="Arial" w:hAnsi="Arial" w:cs="Arial"/>
        </w:rPr>
        <w:t>Parents/carers are responsible for children riding bicycles, skateboards or scooters to and from school.</w:t>
      </w:r>
    </w:p>
    <w:p w:rsidR="00A32D90" w:rsidRPr="005826E6" w:rsidRDefault="00A32D90" w:rsidP="00A32D90">
      <w:pPr>
        <w:ind w:left="360"/>
        <w:jc w:val="both"/>
        <w:rPr>
          <w:rFonts w:ascii="Arial" w:hAnsi="Arial" w:cs="Arial"/>
          <w:b/>
        </w:rPr>
      </w:pPr>
    </w:p>
    <w:p w:rsidR="00A32D90" w:rsidRPr="005826E6" w:rsidRDefault="00A32D90" w:rsidP="00A32D90">
      <w:pPr>
        <w:numPr>
          <w:ilvl w:val="0"/>
          <w:numId w:val="2"/>
        </w:numPr>
        <w:jc w:val="both"/>
        <w:rPr>
          <w:rFonts w:ascii="Arial" w:hAnsi="Arial" w:cs="Arial"/>
        </w:rPr>
      </w:pPr>
      <w:r w:rsidRPr="005826E6">
        <w:rPr>
          <w:rFonts w:ascii="Arial" w:hAnsi="Arial" w:cs="Arial"/>
        </w:rPr>
        <w:t>In line with DET Guidelines, generally speaking, children under the age of twelve do not have sufficiently developed motor skills, peripheral vision and judgement to cope with complex traffic situations on their own. As such, road safety authorities recommend that before the age of nine or ten year, children should not ride a bicycle in traffic without adult supervision. Depending on their cycling skills and experience, some children over this age may still require supervision.</w:t>
      </w:r>
    </w:p>
    <w:p w:rsidR="00A32D90" w:rsidRPr="005826E6" w:rsidRDefault="00A32D90" w:rsidP="00A32D90">
      <w:pPr>
        <w:jc w:val="both"/>
        <w:rPr>
          <w:rFonts w:ascii="Arial" w:hAnsi="Arial" w:cs="Arial"/>
          <w:b/>
        </w:rPr>
      </w:pPr>
    </w:p>
    <w:p w:rsidR="00A32D90" w:rsidRPr="005826E6" w:rsidRDefault="00A32D90" w:rsidP="00A32D90">
      <w:pPr>
        <w:numPr>
          <w:ilvl w:val="0"/>
          <w:numId w:val="1"/>
        </w:numPr>
        <w:tabs>
          <w:tab w:val="clear" w:pos="1069"/>
          <w:tab w:val="num" w:pos="-349"/>
        </w:tabs>
        <w:ind w:left="360"/>
        <w:jc w:val="both"/>
        <w:rPr>
          <w:rFonts w:ascii="Arial" w:hAnsi="Arial" w:cs="Arial"/>
        </w:rPr>
      </w:pPr>
      <w:r w:rsidRPr="005826E6">
        <w:rPr>
          <w:rFonts w:ascii="Arial" w:hAnsi="Arial" w:cs="Arial"/>
        </w:rPr>
        <w:t xml:space="preserve">It is compulsory for bicycles/scooters/skateboards to be stored in the designated areas provided at Eltham East Primary School. Bicycle, skateboard and scooter security is the </w:t>
      </w:r>
      <w:proofErr w:type="gramStart"/>
      <w:r w:rsidRPr="005826E6">
        <w:rPr>
          <w:rFonts w:ascii="Arial" w:hAnsi="Arial" w:cs="Arial"/>
        </w:rPr>
        <w:t>child’s</w:t>
      </w:r>
      <w:proofErr w:type="gramEnd"/>
      <w:r w:rsidRPr="005826E6">
        <w:rPr>
          <w:rFonts w:ascii="Arial" w:hAnsi="Arial" w:cs="Arial"/>
        </w:rPr>
        <w:t xml:space="preserve"> and parent/carer</w:t>
      </w:r>
      <w:r w:rsidR="00063AE5" w:rsidRPr="005826E6">
        <w:rPr>
          <w:rFonts w:ascii="Arial" w:hAnsi="Arial" w:cs="Arial"/>
        </w:rPr>
        <w:t>’</w:t>
      </w:r>
      <w:r w:rsidRPr="005826E6">
        <w:rPr>
          <w:rFonts w:ascii="Arial" w:hAnsi="Arial" w:cs="Arial"/>
        </w:rPr>
        <w:t>s responsibility. Storage will be provide under the following conditions:</w:t>
      </w:r>
    </w:p>
    <w:p w:rsidR="00A32D90" w:rsidRPr="005826E6" w:rsidRDefault="00A32D90" w:rsidP="00A32D90">
      <w:pPr>
        <w:numPr>
          <w:ilvl w:val="0"/>
          <w:numId w:val="1"/>
        </w:numPr>
        <w:tabs>
          <w:tab w:val="clear" w:pos="1069"/>
          <w:tab w:val="num" w:pos="1800"/>
        </w:tabs>
        <w:ind w:left="1800" w:hanging="180"/>
        <w:jc w:val="both"/>
        <w:rPr>
          <w:rFonts w:ascii="Arial" w:hAnsi="Arial" w:cs="Arial"/>
        </w:rPr>
      </w:pPr>
      <w:r w:rsidRPr="005826E6">
        <w:rPr>
          <w:rFonts w:ascii="Arial" w:hAnsi="Arial" w:cs="Arial"/>
        </w:rPr>
        <w:t xml:space="preserve">Students wear Australian standard approved helmets </w:t>
      </w:r>
    </w:p>
    <w:p w:rsidR="00A32D90" w:rsidRPr="005826E6" w:rsidRDefault="00A32D90" w:rsidP="00A32D90">
      <w:pPr>
        <w:numPr>
          <w:ilvl w:val="0"/>
          <w:numId w:val="1"/>
        </w:numPr>
        <w:tabs>
          <w:tab w:val="clear" w:pos="1069"/>
          <w:tab w:val="num" w:pos="1800"/>
        </w:tabs>
        <w:ind w:left="1800" w:hanging="180"/>
        <w:jc w:val="both"/>
        <w:rPr>
          <w:rFonts w:ascii="Arial" w:hAnsi="Arial" w:cs="Arial"/>
        </w:rPr>
      </w:pPr>
      <w:r w:rsidRPr="005826E6">
        <w:rPr>
          <w:rFonts w:ascii="Arial" w:hAnsi="Arial" w:cs="Arial"/>
        </w:rPr>
        <w:t>Students abide by the school/road rules</w:t>
      </w:r>
    </w:p>
    <w:p w:rsidR="00A32D90" w:rsidRPr="005826E6" w:rsidRDefault="00A32D90" w:rsidP="00A32D90">
      <w:pPr>
        <w:numPr>
          <w:ilvl w:val="0"/>
          <w:numId w:val="1"/>
        </w:numPr>
        <w:tabs>
          <w:tab w:val="clear" w:pos="1069"/>
          <w:tab w:val="num" w:pos="1800"/>
        </w:tabs>
        <w:ind w:left="1800" w:hanging="180"/>
        <w:jc w:val="both"/>
        <w:rPr>
          <w:rFonts w:ascii="Arial" w:hAnsi="Arial" w:cs="Arial"/>
        </w:rPr>
      </w:pPr>
      <w:r w:rsidRPr="005826E6">
        <w:rPr>
          <w:rFonts w:ascii="Arial" w:hAnsi="Arial" w:cs="Arial"/>
        </w:rPr>
        <w:t>All equipment is in a safe condition</w:t>
      </w:r>
    </w:p>
    <w:p w:rsidR="00A32D90" w:rsidRPr="005826E6" w:rsidRDefault="00A32D90" w:rsidP="00A32D90">
      <w:pPr>
        <w:ind w:left="1800"/>
        <w:jc w:val="both"/>
        <w:rPr>
          <w:rFonts w:ascii="Arial" w:hAnsi="Arial" w:cs="Arial"/>
        </w:rPr>
      </w:pPr>
    </w:p>
    <w:p w:rsidR="00A32D90" w:rsidRPr="005826E6" w:rsidRDefault="00A32D90" w:rsidP="00A32D90">
      <w:pPr>
        <w:pStyle w:val="ListParagraph"/>
        <w:numPr>
          <w:ilvl w:val="0"/>
          <w:numId w:val="1"/>
        </w:numPr>
        <w:tabs>
          <w:tab w:val="clear" w:pos="1069"/>
          <w:tab w:val="num" w:pos="360"/>
        </w:tabs>
        <w:ind w:left="360"/>
        <w:rPr>
          <w:rFonts w:ascii="Arial" w:hAnsi="Arial" w:cs="Arial"/>
          <w:sz w:val="24"/>
          <w:szCs w:val="24"/>
        </w:rPr>
      </w:pPr>
      <w:r w:rsidRPr="005826E6">
        <w:rPr>
          <w:rFonts w:ascii="Arial" w:hAnsi="Arial" w:cs="Arial"/>
          <w:sz w:val="24"/>
          <w:szCs w:val="24"/>
        </w:rPr>
        <w:t xml:space="preserve">Students taking risks on their journey to and from school </w:t>
      </w:r>
      <w:proofErr w:type="gramStart"/>
      <w:r w:rsidRPr="005826E6">
        <w:rPr>
          <w:rFonts w:ascii="Arial" w:hAnsi="Arial" w:cs="Arial"/>
          <w:sz w:val="24"/>
          <w:szCs w:val="24"/>
        </w:rPr>
        <w:t>will not be permitted</w:t>
      </w:r>
      <w:proofErr w:type="gramEnd"/>
      <w:r w:rsidRPr="005826E6">
        <w:rPr>
          <w:rFonts w:ascii="Arial" w:hAnsi="Arial" w:cs="Arial"/>
          <w:sz w:val="24"/>
          <w:szCs w:val="24"/>
        </w:rPr>
        <w:t xml:space="preserve"> to store their bike/scooter/skateboard at school. Parents </w:t>
      </w:r>
      <w:proofErr w:type="gramStart"/>
      <w:r w:rsidRPr="005826E6">
        <w:rPr>
          <w:rFonts w:ascii="Arial" w:hAnsi="Arial" w:cs="Arial"/>
          <w:sz w:val="24"/>
          <w:szCs w:val="24"/>
        </w:rPr>
        <w:t>will be notified</w:t>
      </w:r>
      <w:proofErr w:type="gramEnd"/>
      <w:r w:rsidRPr="005826E6">
        <w:rPr>
          <w:rFonts w:ascii="Arial" w:hAnsi="Arial" w:cs="Arial"/>
          <w:sz w:val="24"/>
          <w:szCs w:val="24"/>
        </w:rPr>
        <w:t xml:space="preserve"> and the school will recommend that the child not ride to school without adult supervision.</w:t>
      </w:r>
    </w:p>
    <w:p w:rsidR="00A32D90" w:rsidRPr="005826E6" w:rsidRDefault="00A32D90" w:rsidP="00A32D90">
      <w:pPr>
        <w:pStyle w:val="ListParagraph"/>
        <w:numPr>
          <w:ilvl w:val="0"/>
          <w:numId w:val="1"/>
        </w:numPr>
        <w:tabs>
          <w:tab w:val="clear" w:pos="1069"/>
          <w:tab w:val="num" w:pos="360"/>
        </w:tabs>
        <w:ind w:left="360"/>
        <w:rPr>
          <w:rFonts w:ascii="Arial" w:hAnsi="Arial" w:cs="Arial"/>
          <w:sz w:val="24"/>
          <w:szCs w:val="24"/>
        </w:rPr>
      </w:pPr>
      <w:r w:rsidRPr="005826E6">
        <w:rPr>
          <w:rFonts w:ascii="Arial" w:hAnsi="Arial" w:cs="Arial"/>
          <w:sz w:val="24"/>
          <w:szCs w:val="24"/>
        </w:rPr>
        <w:t>Road rules and safety will form part of the school curriculum. Bicycle education, will be an extracurricular activity in year 4. Eltham East Primary School ensures staff leading the Bike Ed Program have completed the Bicycle Safety Education Instructor Training course. Staff who have held the certificate for more than 5 years need to do a refresher course.</w:t>
      </w:r>
    </w:p>
    <w:p w:rsidR="00A32D90" w:rsidRPr="005826E6" w:rsidRDefault="00A32D90" w:rsidP="00A32D90">
      <w:pPr>
        <w:numPr>
          <w:ilvl w:val="0"/>
          <w:numId w:val="1"/>
        </w:numPr>
        <w:tabs>
          <w:tab w:val="clear" w:pos="1069"/>
          <w:tab w:val="num" w:pos="360"/>
        </w:tabs>
        <w:ind w:left="360"/>
        <w:jc w:val="both"/>
        <w:rPr>
          <w:rFonts w:ascii="Arial" w:hAnsi="Arial" w:cs="Arial"/>
        </w:rPr>
      </w:pPr>
      <w:r w:rsidRPr="005826E6">
        <w:rPr>
          <w:rFonts w:ascii="Arial" w:hAnsi="Arial" w:cs="Arial"/>
        </w:rPr>
        <w:t>Bicycles/ scooters/ skateboards cannot be ridden inside the school grounds at any time, students doing so will have their bike/scooter/skateboard confiscated*</w:t>
      </w:r>
    </w:p>
    <w:p w:rsidR="00A32D90" w:rsidRPr="002957D6" w:rsidRDefault="00A32D90" w:rsidP="00A32D90">
      <w:pPr>
        <w:ind w:left="1134"/>
        <w:rPr>
          <w:rFonts w:ascii="Arial" w:hAnsi="Arial" w:cs="Arial"/>
        </w:rPr>
      </w:pPr>
      <w:r w:rsidRPr="005826E6">
        <w:rPr>
          <w:rFonts w:ascii="Arial" w:hAnsi="Arial" w:cs="Arial"/>
        </w:rPr>
        <w:t xml:space="preserve">*confiscated means the teacher will direct the child to take the bike/scooter/skateboard to the office for 24 hours. Parents </w:t>
      </w:r>
      <w:proofErr w:type="gramStart"/>
      <w:r w:rsidRPr="005826E6">
        <w:rPr>
          <w:rFonts w:ascii="Arial" w:hAnsi="Arial" w:cs="Arial"/>
        </w:rPr>
        <w:t>will be notified</w:t>
      </w:r>
      <w:proofErr w:type="gramEnd"/>
      <w:r w:rsidRPr="005826E6">
        <w:rPr>
          <w:rFonts w:ascii="Arial" w:hAnsi="Arial" w:cs="Arial"/>
        </w:rPr>
        <w:t xml:space="preserve"> to collect the bicycle, scooter or skateboard from the office.</w:t>
      </w:r>
    </w:p>
    <w:p w:rsidR="00A32D90" w:rsidRPr="002957D6" w:rsidRDefault="00A32D90" w:rsidP="00A32D90">
      <w:pPr>
        <w:ind w:left="1069"/>
        <w:jc w:val="both"/>
        <w:rPr>
          <w:rFonts w:ascii="Arial" w:hAnsi="Arial" w:cs="Arial"/>
        </w:rPr>
      </w:pPr>
    </w:p>
    <w:p w:rsidR="00A32D90" w:rsidRPr="002957D6" w:rsidRDefault="00A32D90" w:rsidP="00A32D90">
      <w:pPr>
        <w:rPr>
          <w:rFonts w:ascii="Arial" w:hAnsi="Arial" w:cs="Arial"/>
          <w:b/>
          <w:u w:val="single"/>
        </w:rPr>
      </w:pPr>
      <w:r w:rsidRPr="002957D6">
        <w:rPr>
          <w:rFonts w:ascii="Arial" w:hAnsi="Arial" w:cs="Arial"/>
          <w:b/>
          <w:u w:val="single"/>
        </w:rPr>
        <w:t>Evaluation</w:t>
      </w:r>
    </w:p>
    <w:p w:rsidR="00A32D90" w:rsidRPr="002957D6" w:rsidRDefault="00A32D90" w:rsidP="00A32D90">
      <w:pPr>
        <w:numPr>
          <w:ilvl w:val="0"/>
          <w:numId w:val="1"/>
        </w:numPr>
        <w:jc w:val="both"/>
        <w:rPr>
          <w:rFonts w:ascii="Arial" w:hAnsi="Arial" w:cs="Arial"/>
        </w:rPr>
      </w:pPr>
      <w:r w:rsidRPr="002957D6">
        <w:rPr>
          <w:rFonts w:ascii="Arial" w:hAnsi="Arial" w:cs="Arial"/>
        </w:rPr>
        <w:t xml:space="preserve">This policy </w:t>
      </w:r>
      <w:proofErr w:type="gramStart"/>
      <w:r w:rsidRPr="002957D6">
        <w:rPr>
          <w:rFonts w:ascii="Arial" w:hAnsi="Arial" w:cs="Arial"/>
        </w:rPr>
        <w:t>will be reviewed</w:t>
      </w:r>
      <w:proofErr w:type="gramEnd"/>
      <w:r w:rsidRPr="002957D6">
        <w:rPr>
          <w:rFonts w:ascii="Arial" w:hAnsi="Arial" w:cs="Arial"/>
        </w:rPr>
        <w:t xml:space="preserve"> in line with best practice. </w:t>
      </w:r>
    </w:p>
    <w:p w:rsidR="00A32D90" w:rsidRPr="002957D6" w:rsidRDefault="00A32D90" w:rsidP="00A32D90">
      <w:pPr>
        <w:ind w:left="709"/>
        <w:rPr>
          <w:rFonts w:ascii="Arial" w:hAnsi="Arial" w:cs="Arial"/>
        </w:rPr>
      </w:pPr>
    </w:p>
    <w:tbl>
      <w:tblPr>
        <w:tblW w:w="0" w:type="auto"/>
        <w:tblInd w:w="743"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Layout w:type="fixed"/>
        <w:tblCellMar>
          <w:left w:w="0" w:type="dxa"/>
          <w:right w:w="0" w:type="dxa"/>
        </w:tblCellMar>
        <w:tblLook w:val="04A0" w:firstRow="1" w:lastRow="0" w:firstColumn="1" w:lastColumn="0" w:noHBand="0" w:noVBand="1"/>
      </w:tblPr>
      <w:tblGrid>
        <w:gridCol w:w="1418"/>
        <w:gridCol w:w="1559"/>
        <w:gridCol w:w="6023"/>
      </w:tblGrid>
      <w:tr w:rsidR="00A32D90" w:rsidRPr="002957D6" w:rsidTr="005333FF">
        <w:trPr>
          <w:trHeight w:val="270"/>
        </w:trPr>
        <w:tc>
          <w:tcPr>
            <w:tcW w:w="1418" w:type="dxa"/>
            <w:tcBorders>
              <w:top w:val="single" w:sz="4" w:space="0" w:color="054196"/>
              <w:left w:val="single" w:sz="4" w:space="0" w:color="054196"/>
              <w:bottom w:val="single" w:sz="4" w:space="0" w:color="054196"/>
              <w:right w:val="single" w:sz="4" w:space="0" w:color="054196"/>
            </w:tcBorders>
            <w:shd w:val="solid" w:color="054196" w:fill="D2000B"/>
            <w:tcMar>
              <w:top w:w="0" w:type="dxa"/>
              <w:left w:w="108" w:type="dxa"/>
              <w:bottom w:w="0" w:type="dxa"/>
              <w:right w:w="108" w:type="dxa"/>
            </w:tcMar>
            <w:vAlign w:val="center"/>
            <w:hideMark/>
          </w:tcPr>
          <w:p w:rsidR="00A32D90" w:rsidRPr="002957D6" w:rsidRDefault="00A32D90" w:rsidP="005333FF">
            <w:pPr>
              <w:pStyle w:val="Table-ColumnHeading"/>
              <w:rPr>
                <w:sz w:val="24"/>
                <w:szCs w:val="24"/>
              </w:rPr>
            </w:pPr>
            <w:r w:rsidRPr="002957D6">
              <w:rPr>
                <w:sz w:val="24"/>
                <w:szCs w:val="24"/>
              </w:rPr>
              <w:t>Revision dates</w:t>
            </w:r>
          </w:p>
        </w:tc>
        <w:tc>
          <w:tcPr>
            <w:tcW w:w="1559" w:type="dxa"/>
            <w:tcBorders>
              <w:top w:val="single" w:sz="4" w:space="0" w:color="054196"/>
              <w:left w:val="single" w:sz="4" w:space="0" w:color="054196"/>
              <w:bottom w:val="single" w:sz="4" w:space="0" w:color="054196"/>
              <w:right w:val="single" w:sz="4" w:space="0" w:color="054196"/>
            </w:tcBorders>
            <w:shd w:val="solid" w:color="054196" w:fill="D2000B"/>
            <w:tcMar>
              <w:top w:w="0" w:type="dxa"/>
              <w:left w:w="108" w:type="dxa"/>
              <w:bottom w:w="0" w:type="dxa"/>
              <w:right w:w="108" w:type="dxa"/>
            </w:tcMar>
            <w:vAlign w:val="center"/>
            <w:hideMark/>
          </w:tcPr>
          <w:p w:rsidR="00A32D90" w:rsidRPr="002957D6" w:rsidRDefault="00A32D90" w:rsidP="005333FF">
            <w:pPr>
              <w:pStyle w:val="Table-ColumnHeading"/>
              <w:rPr>
                <w:sz w:val="24"/>
                <w:szCs w:val="24"/>
              </w:rPr>
            </w:pPr>
            <w:r w:rsidRPr="002957D6">
              <w:rPr>
                <w:sz w:val="24"/>
                <w:szCs w:val="24"/>
              </w:rPr>
              <w:t>Version number</w:t>
            </w:r>
          </w:p>
        </w:tc>
        <w:tc>
          <w:tcPr>
            <w:tcW w:w="6023" w:type="dxa"/>
            <w:tcBorders>
              <w:top w:val="single" w:sz="4" w:space="0" w:color="054196"/>
              <w:left w:val="single" w:sz="4" w:space="0" w:color="054196"/>
              <w:bottom w:val="single" w:sz="4" w:space="0" w:color="054196"/>
              <w:right w:val="single" w:sz="4" w:space="0" w:color="054196"/>
            </w:tcBorders>
            <w:shd w:val="solid" w:color="054196" w:fill="D2000B"/>
            <w:tcMar>
              <w:top w:w="0" w:type="dxa"/>
              <w:left w:w="108" w:type="dxa"/>
              <w:bottom w:w="0" w:type="dxa"/>
              <w:right w:w="108" w:type="dxa"/>
            </w:tcMar>
            <w:vAlign w:val="center"/>
            <w:hideMark/>
          </w:tcPr>
          <w:p w:rsidR="00A32D90" w:rsidRPr="002957D6" w:rsidRDefault="00A32D90" w:rsidP="005333FF">
            <w:pPr>
              <w:pStyle w:val="Table-ColumnHeading"/>
              <w:rPr>
                <w:sz w:val="24"/>
                <w:szCs w:val="24"/>
              </w:rPr>
            </w:pPr>
            <w:r w:rsidRPr="002957D6">
              <w:rPr>
                <w:sz w:val="24"/>
                <w:szCs w:val="24"/>
              </w:rPr>
              <w:t>Summary of changes</w:t>
            </w:r>
          </w:p>
        </w:tc>
      </w:tr>
      <w:tr w:rsidR="00A32D90" w:rsidRPr="002957D6" w:rsidTr="005333FF">
        <w:trPr>
          <w:trHeight w:val="292"/>
        </w:trPr>
        <w:tc>
          <w:tcPr>
            <w:tcW w:w="1418" w:type="dxa"/>
            <w:tcBorders>
              <w:top w:val="single" w:sz="4" w:space="0" w:color="054196"/>
              <w:left w:val="single" w:sz="4" w:space="0" w:color="054196"/>
              <w:bottom w:val="single" w:sz="4" w:space="0" w:color="054196"/>
              <w:right w:val="single" w:sz="4" w:space="0" w:color="054196"/>
            </w:tcBorders>
            <w:shd w:val="solid" w:color="E6ECF4" w:fill="F5D4C5"/>
            <w:tcMar>
              <w:top w:w="0" w:type="dxa"/>
              <w:left w:w="108" w:type="dxa"/>
              <w:bottom w:w="0" w:type="dxa"/>
              <w:right w:w="108" w:type="dxa"/>
            </w:tcMar>
            <w:vAlign w:val="center"/>
            <w:hideMark/>
          </w:tcPr>
          <w:p w:rsidR="00A32D90" w:rsidRPr="002957D6" w:rsidRDefault="00A32D90" w:rsidP="005333FF">
            <w:pPr>
              <w:pStyle w:val="Table-RowHeading"/>
              <w:rPr>
                <w:sz w:val="24"/>
                <w:szCs w:val="24"/>
              </w:rPr>
            </w:pPr>
          </w:p>
        </w:tc>
        <w:tc>
          <w:tcPr>
            <w:tcW w:w="1559" w:type="dxa"/>
            <w:tcBorders>
              <w:top w:val="single" w:sz="4" w:space="0" w:color="054196"/>
              <w:left w:val="single" w:sz="4" w:space="0" w:color="054196"/>
              <w:bottom w:val="single" w:sz="4" w:space="0" w:color="054196"/>
              <w:right w:val="single" w:sz="4" w:space="0" w:color="054196"/>
            </w:tcBorders>
            <w:tcMar>
              <w:top w:w="0" w:type="dxa"/>
              <w:left w:w="108" w:type="dxa"/>
              <w:bottom w:w="0" w:type="dxa"/>
              <w:right w:w="108" w:type="dxa"/>
            </w:tcMar>
            <w:vAlign w:val="center"/>
            <w:hideMark/>
          </w:tcPr>
          <w:p w:rsidR="00A32D90" w:rsidRPr="002957D6" w:rsidRDefault="00A32D90" w:rsidP="005333FF">
            <w:pPr>
              <w:pStyle w:val="Table-Entry"/>
              <w:rPr>
                <w:sz w:val="24"/>
                <w:szCs w:val="24"/>
              </w:rPr>
            </w:pPr>
            <w:r w:rsidRPr="002957D6">
              <w:rPr>
                <w:sz w:val="24"/>
                <w:szCs w:val="24"/>
              </w:rPr>
              <w:t>0.1</w:t>
            </w:r>
          </w:p>
        </w:tc>
        <w:tc>
          <w:tcPr>
            <w:tcW w:w="6023" w:type="dxa"/>
            <w:tcBorders>
              <w:top w:val="single" w:sz="4" w:space="0" w:color="054196"/>
              <w:left w:val="single" w:sz="4" w:space="0" w:color="054196"/>
              <w:bottom w:val="single" w:sz="4" w:space="0" w:color="054196"/>
              <w:right w:val="single" w:sz="4" w:space="0" w:color="054196"/>
            </w:tcBorders>
            <w:tcMar>
              <w:top w:w="0" w:type="dxa"/>
              <w:left w:w="108" w:type="dxa"/>
              <w:bottom w:w="0" w:type="dxa"/>
              <w:right w:w="108" w:type="dxa"/>
            </w:tcMar>
            <w:vAlign w:val="center"/>
          </w:tcPr>
          <w:p w:rsidR="00A32D90" w:rsidRPr="002957D6" w:rsidRDefault="00A32D90" w:rsidP="005333FF">
            <w:pPr>
              <w:pStyle w:val="Table-Entry"/>
              <w:rPr>
                <w:sz w:val="24"/>
                <w:szCs w:val="24"/>
              </w:rPr>
            </w:pPr>
            <w:r>
              <w:rPr>
                <w:sz w:val="24"/>
                <w:szCs w:val="24"/>
              </w:rPr>
              <w:t xml:space="preserve">Rationale updated, implementation reflects current practices and updated DET guidelines. Further information provided regarding storage. </w:t>
            </w:r>
          </w:p>
        </w:tc>
      </w:tr>
      <w:tr w:rsidR="00A32D90" w:rsidRPr="002957D6" w:rsidTr="005333FF">
        <w:trPr>
          <w:trHeight w:val="292"/>
        </w:trPr>
        <w:tc>
          <w:tcPr>
            <w:tcW w:w="1418" w:type="dxa"/>
            <w:tcBorders>
              <w:top w:val="single" w:sz="4" w:space="0" w:color="054196"/>
              <w:left w:val="single" w:sz="4" w:space="0" w:color="054196"/>
              <w:bottom w:val="single" w:sz="4" w:space="0" w:color="054196"/>
              <w:right w:val="single" w:sz="4" w:space="0" w:color="054196"/>
            </w:tcBorders>
            <w:shd w:val="solid" w:color="E6ECF4" w:fill="F5D4C5"/>
            <w:tcMar>
              <w:top w:w="0" w:type="dxa"/>
              <w:left w:w="108" w:type="dxa"/>
              <w:bottom w:w="0" w:type="dxa"/>
              <w:right w:w="108" w:type="dxa"/>
            </w:tcMar>
            <w:vAlign w:val="center"/>
          </w:tcPr>
          <w:p w:rsidR="00A32D90" w:rsidRPr="002957D6" w:rsidRDefault="00A32D90" w:rsidP="005333FF">
            <w:pPr>
              <w:pStyle w:val="Table-RowHeading"/>
              <w:rPr>
                <w:sz w:val="24"/>
                <w:szCs w:val="24"/>
              </w:rPr>
            </w:pPr>
          </w:p>
        </w:tc>
        <w:tc>
          <w:tcPr>
            <w:tcW w:w="1559" w:type="dxa"/>
            <w:tcBorders>
              <w:top w:val="single" w:sz="4" w:space="0" w:color="054196"/>
              <w:left w:val="single" w:sz="4" w:space="0" w:color="054196"/>
              <w:bottom w:val="single" w:sz="4" w:space="0" w:color="054196"/>
              <w:right w:val="single" w:sz="4" w:space="0" w:color="054196"/>
            </w:tcBorders>
            <w:tcMar>
              <w:top w:w="0" w:type="dxa"/>
              <w:left w:w="108" w:type="dxa"/>
              <w:bottom w:w="0" w:type="dxa"/>
              <w:right w:w="108" w:type="dxa"/>
            </w:tcMar>
            <w:vAlign w:val="center"/>
          </w:tcPr>
          <w:p w:rsidR="00A32D90" w:rsidRPr="002957D6" w:rsidRDefault="00A32D90" w:rsidP="005333FF">
            <w:pPr>
              <w:pStyle w:val="Table-Entry"/>
              <w:rPr>
                <w:sz w:val="24"/>
                <w:szCs w:val="24"/>
              </w:rPr>
            </w:pPr>
          </w:p>
        </w:tc>
        <w:tc>
          <w:tcPr>
            <w:tcW w:w="6023" w:type="dxa"/>
            <w:tcBorders>
              <w:top w:val="single" w:sz="4" w:space="0" w:color="054196"/>
              <w:left w:val="single" w:sz="4" w:space="0" w:color="054196"/>
              <w:bottom w:val="single" w:sz="4" w:space="0" w:color="054196"/>
              <w:right w:val="single" w:sz="4" w:space="0" w:color="054196"/>
            </w:tcBorders>
            <w:tcMar>
              <w:top w:w="0" w:type="dxa"/>
              <w:left w:w="108" w:type="dxa"/>
              <w:bottom w:w="0" w:type="dxa"/>
              <w:right w:w="108" w:type="dxa"/>
            </w:tcMar>
            <w:vAlign w:val="center"/>
          </w:tcPr>
          <w:p w:rsidR="00A32D90" w:rsidRPr="002957D6" w:rsidRDefault="00A32D90" w:rsidP="005333FF">
            <w:pPr>
              <w:pStyle w:val="Table-Entry"/>
              <w:rPr>
                <w:sz w:val="24"/>
                <w:szCs w:val="24"/>
              </w:rPr>
            </w:pPr>
          </w:p>
        </w:tc>
      </w:tr>
      <w:tr w:rsidR="00A32D90" w:rsidRPr="002957D6" w:rsidTr="005333FF">
        <w:trPr>
          <w:trHeight w:val="292"/>
        </w:trPr>
        <w:tc>
          <w:tcPr>
            <w:tcW w:w="1418" w:type="dxa"/>
            <w:tcBorders>
              <w:top w:val="single" w:sz="4" w:space="0" w:color="054196"/>
              <w:left w:val="single" w:sz="4" w:space="0" w:color="054196"/>
              <w:bottom w:val="single" w:sz="4" w:space="0" w:color="054196"/>
              <w:right w:val="single" w:sz="4" w:space="0" w:color="054196"/>
            </w:tcBorders>
            <w:shd w:val="solid" w:color="E6ECF4" w:fill="F5D4C5"/>
            <w:tcMar>
              <w:top w:w="0" w:type="dxa"/>
              <w:left w:w="108" w:type="dxa"/>
              <w:bottom w:w="0" w:type="dxa"/>
              <w:right w:w="108" w:type="dxa"/>
            </w:tcMar>
            <w:vAlign w:val="center"/>
          </w:tcPr>
          <w:p w:rsidR="00A32D90" w:rsidRPr="002957D6" w:rsidRDefault="00A32D90" w:rsidP="005333FF">
            <w:pPr>
              <w:pStyle w:val="Table-RowHeading"/>
              <w:rPr>
                <w:sz w:val="24"/>
                <w:szCs w:val="24"/>
              </w:rPr>
            </w:pPr>
          </w:p>
        </w:tc>
        <w:tc>
          <w:tcPr>
            <w:tcW w:w="1559" w:type="dxa"/>
            <w:tcBorders>
              <w:top w:val="single" w:sz="4" w:space="0" w:color="054196"/>
              <w:left w:val="single" w:sz="4" w:space="0" w:color="054196"/>
              <w:bottom w:val="single" w:sz="4" w:space="0" w:color="054196"/>
              <w:right w:val="single" w:sz="4" w:space="0" w:color="054196"/>
            </w:tcBorders>
            <w:tcMar>
              <w:top w:w="0" w:type="dxa"/>
              <w:left w:w="108" w:type="dxa"/>
              <w:bottom w:w="0" w:type="dxa"/>
              <w:right w:w="108" w:type="dxa"/>
            </w:tcMar>
            <w:vAlign w:val="center"/>
          </w:tcPr>
          <w:p w:rsidR="00A32D90" w:rsidRPr="002957D6" w:rsidRDefault="00A32D90" w:rsidP="005333FF">
            <w:pPr>
              <w:pStyle w:val="Table-Entry"/>
              <w:rPr>
                <w:sz w:val="24"/>
                <w:szCs w:val="24"/>
              </w:rPr>
            </w:pPr>
          </w:p>
        </w:tc>
        <w:tc>
          <w:tcPr>
            <w:tcW w:w="6023" w:type="dxa"/>
            <w:tcBorders>
              <w:top w:val="single" w:sz="4" w:space="0" w:color="054196"/>
              <w:left w:val="single" w:sz="4" w:space="0" w:color="054196"/>
              <w:bottom w:val="single" w:sz="4" w:space="0" w:color="054196"/>
              <w:right w:val="single" w:sz="4" w:space="0" w:color="054196"/>
            </w:tcBorders>
            <w:tcMar>
              <w:top w:w="0" w:type="dxa"/>
              <w:left w:w="108" w:type="dxa"/>
              <w:bottom w:w="0" w:type="dxa"/>
              <w:right w:w="108" w:type="dxa"/>
            </w:tcMar>
            <w:vAlign w:val="center"/>
          </w:tcPr>
          <w:p w:rsidR="00A32D90" w:rsidRPr="002957D6" w:rsidRDefault="00A32D90" w:rsidP="005333FF">
            <w:pPr>
              <w:pStyle w:val="Table-Entry"/>
              <w:rPr>
                <w:sz w:val="24"/>
                <w:szCs w:val="24"/>
              </w:rPr>
            </w:pPr>
          </w:p>
        </w:tc>
      </w:tr>
      <w:tr w:rsidR="00A32D90" w:rsidRPr="002957D6" w:rsidTr="005333FF">
        <w:trPr>
          <w:trHeight w:val="292"/>
        </w:trPr>
        <w:tc>
          <w:tcPr>
            <w:tcW w:w="1418" w:type="dxa"/>
            <w:tcBorders>
              <w:top w:val="single" w:sz="4" w:space="0" w:color="054196"/>
              <w:left w:val="single" w:sz="4" w:space="0" w:color="054196"/>
              <w:bottom w:val="single" w:sz="4" w:space="0" w:color="054196"/>
              <w:right w:val="single" w:sz="4" w:space="0" w:color="054196"/>
            </w:tcBorders>
            <w:shd w:val="solid" w:color="E6ECF4" w:fill="F5D4C5"/>
            <w:tcMar>
              <w:top w:w="0" w:type="dxa"/>
              <w:left w:w="108" w:type="dxa"/>
              <w:bottom w:w="0" w:type="dxa"/>
              <w:right w:w="108" w:type="dxa"/>
            </w:tcMar>
            <w:vAlign w:val="center"/>
          </w:tcPr>
          <w:p w:rsidR="00A32D90" w:rsidRPr="002957D6" w:rsidRDefault="00A32D90" w:rsidP="005333FF">
            <w:pPr>
              <w:pStyle w:val="Table-RowHeading"/>
              <w:rPr>
                <w:sz w:val="24"/>
                <w:szCs w:val="24"/>
              </w:rPr>
            </w:pPr>
          </w:p>
        </w:tc>
        <w:tc>
          <w:tcPr>
            <w:tcW w:w="1559" w:type="dxa"/>
            <w:tcBorders>
              <w:top w:val="single" w:sz="4" w:space="0" w:color="054196"/>
              <w:left w:val="single" w:sz="4" w:space="0" w:color="054196"/>
              <w:bottom w:val="single" w:sz="4" w:space="0" w:color="054196"/>
              <w:right w:val="single" w:sz="4" w:space="0" w:color="054196"/>
            </w:tcBorders>
            <w:tcMar>
              <w:top w:w="0" w:type="dxa"/>
              <w:left w:w="108" w:type="dxa"/>
              <w:bottom w:w="0" w:type="dxa"/>
              <w:right w:w="108" w:type="dxa"/>
            </w:tcMar>
            <w:vAlign w:val="center"/>
          </w:tcPr>
          <w:p w:rsidR="00A32D90" w:rsidRPr="002957D6" w:rsidRDefault="00A32D90" w:rsidP="005333FF">
            <w:pPr>
              <w:pStyle w:val="Table-Entry"/>
              <w:rPr>
                <w:sz w:val="24"/>
                <w:szCs w:val="24"/>
              </w:rPr>
            </w:pPr>
          </w:p>
        </w:tc>
        <w:tc>
          <w:tcPr>
            <w:tcW w:w="6023" w:type="dxa"/>
            <w:tcBorders>
              <w:top w:val="single" w:sz="4" w:space="0" w:color="054196"/>
              <w:left w:val="single" w:sz="4" w:space="0" w:color="054196"/>
              <w:bottom w:val="single" w:sz="4" w:space="0" w:color="054196"/>
              <w:right w:val="single" w:sz="4" w:space="0" w:color="054196"/>
            </w:tcBorders>
            <w:tcMar>
              <w:top w:w="0" w:type="dxa"/>
              <w:left w:w="108" w:type="dxa"/>
              <w:bottom w:w="0" w:type="dxa"/>
              <w:right w:w="108" w:type="dxa"/>
            </w:tcMar>
            <w:vAlign w:val="center"/>
          </w:tcPr>
          <w:p w:rsidR="00A32D90" w:rsidRPr="002957D6" w:rsidRDefault="00A32D90" w:rsidP="005333FF">
            <w:pPr>
              <w:pStyle w:val="Table-Entry"/>
              <w:rPr>
                <w:sz w:val="24"/>
                <w:szCs w:val="24"/>
              </w:rPr>
            </w:pPr>
          </w:p>
        </w:tc>
      </w:tr>
      <w:tr w:rsidR="00A32D90" w:rsidRPr="002957D6" w:rsidTr="005333FF">
        <w:trPr>
          <w:trHeight w:val="292"/>
        </w:trPr>
        <w:tc>
          <w:tcPr>
            <w:tcW w:w="1418" w:type="dxa"/>
            <w:tcBorders>
              <w:top w:val="single" w:sz="4" w:space="0" w:color="054196"/>
              <w:left w:val="single" w:sz="4" w:space="0" w:color="054196"/>
              <w:bottom w:val="single" w:sz="4" w:space="0" w:color="054196"/>
              <w:right w:val="single" w:sz="4" w:space="0" w:color="054196"/>
            </w:tcBorders>
            <w:shd w:val="solid" w:color="E6ECF4" w:fill="F5D4C5"/>
            <w:tcMar>
              <w:top w:w="0" w:type="dxa"/>
              <w:left w:w="108" w:type="dxa"/>
              <w:bottom w:w="0" w:type="dxa"/>
              <w:right w:w="108" w:type="dxa"/>
            </w:tcMar>
            <w:vAlign w:val="center"/>
          </w:tcPr>
          <w:p w:rsidR="00A32D90" w:rsidRPr="002957D6" w:rsidRDefault="00A32D90" w:rsidP="005333FF">
            <w:pPr>
              <w:pStyle w:val="Table-RowHeading"/>
              <w:rPr>
                <w:sz w:val="24"/>
                <w:szCs w:val="24"/>
              </w:rPr>
            </w:pPr>
          </w:p>
        </w:tc>
        <w:tc>
          <w:tcPr>
            <w:tcW w:w="1559" w:type="dxa"/>
            <w:tcBorders>
              <w:top w:val="single" w:sz="4" w:space="0" w:color="054196"/>
              <w:left w:val="single" w:sz="4" w:space="0" w:color="054196"/>
              <w:bottom w:val="single" w:sz="4" w:space="0" w:color="054196"/>
              <w:right w:val="single" w:sz="4" w:space="0" w:color="054196"/>
            </w:tcBorders>
            <w:tcMar>
              <w:top w:w="0" w:type="dxa"/>
              <w:left w:w="108" w:type="dxa"/>
              <w:bottom w:w="0" w:type="dxa"/>
              <w:right w:w="108" w:type="dxa"/>
            </w:tcMar>
            <w:vAlign w:val="center"/>
          </w:tcPr>
          <w:p w:rsidR="00A32D90" w:rsidRPr="002957D6" w:rsidRDefault="00A32D90" w:rsidP="005333FF">
            <w:pPr>
              <w:pStyle w:val="Table-Entry"/>
              <w:rPr>
                <w:sz w:val="24"/>
                <w:szCs w:val="24"/>
              </w:rPr>
            </w:pPr>
          </w:p>
        </w:tc>
        <w:tc>
          <w:tcPr>
            <w:tcW w:w="6023" w:type="dxa"/>
            <w:tcBorders>
              <w:top w:val="single" w:sz="4" w:space="0" w:color="054196"/>
              <w:left w:val="single" w:sz="4" w:space="0" w:color="054196"/>
              <w:bottom w:val="single" w:sz="4" w:space="0" w:color="054196"/>
              <w:right w:val="single" w:sz="4" w:space="0" w:color="054196"/>
            </w:tcBorders>
            <w:tcMar>
              <w:top w:w="0" w:type="dxa"/>
              <w:left w:w="108" w:type="dxa"/>
              <w:bottom w:w="0" w:type="dxa"/>
              <w:right w:w="108" w:type="dxa"/>
            </w:tcMar>
            <w:vAlign w:val="center"/>
          </w:tcPr>
          <w:p w:rsidR="00A32D90" w:rsidRPr="002957D6" w:rsidRDefault="00A32D90" w:rsidP="005333FF">
            <w:pPr>
              <w:pStyle w:val="Table-Entry"/>
              <w:rPr>
                <w:sz w:val="24"/>
                <w:szCs w:val="24"/>
              </w:rPr>
            </w:pPr>
          </w:p>
        </w:tc>
      </w:tr>
      <w:tr w:rsidR="00A32D90" w:rsidRPr="002957D6" w:rsidTr="005333FF">
        <w:trPr>
          <w:trHeight w:val="292"/>
        </w:trPr>
        <w:tc>
          <w:tcPr>
            <w:tcW w:w="1418" w:type="dxa"/>
            <w:tcBorders>
              <w:top w:val="single" w:sz="4" w:space="0" w:color="054196"/>
              <w:left w:val="single" w:sz="4" w:space="0" w:color="054196"/>
              <w:bottom w:val="single" w:sz="4" w:space="0" w:color="054196"/>
              <w:right w:val="single" w:sz="4" w:space="0" w:color="054196"/>
            </w:tcBorders>
            <w:shd w:val="solid" w:color="E6ECF4" w:fill="F5D4C5"/>
            <w:tcMar>
              <w:top w:w="0" w:type="dxa"/>
              <w:left w:w="108" w:type="dxa"/>
              <w:bottom w:w="0" w:type="dxa"/>
              <w:right w:w="108" w:type="dxa"/>
            </w:tcMar>
            <w:vAlign w:val="center"/>
          </w:tcPr>
          <w:p w:rsidR="00A32D90" w:rsidRPr="002957D6" w:rsidRDefault="00A32D90" w:rsidP="005333FF">
            <w:pPr>
              <w:pStyle w:val="Table-RowHeading"/>
              <w:rPr>
                <w:sz w:val="24"/>
                <w:szCs w:val="24"/>
              </w:rPr>
            </w:pPr>
          </w:p>
        </w:tc>
        <w:tc>
          <w:tcPr>
            <w:tcW w:w="1559" w:type="dxa"/>
            <w:tcBorders>
              <w:top w:val="single" w:sz="4" w:space="0" w:color="054196"/>
              <w:left w:val="single" w:sz="4" w:space="0" w:color="054196"/>
              <w:bottom w:val="single" w:sz="4" w:space="0" w:color="054196"/>
              <w:right w:val="single" w:sz="4" w:space="0" w:color="054196"/>
            </w:tcBorders>
            <w:tcMar>
              <w:top w:w="0" w:type="dxa"/>
              <w:left w:w="108" w:type="dxa"/>
              <w:bottom w:w="0" w:type="dxa"/>
              <w:right w:w="108" w:type="dxa"/>
            </w:tcMar>
            <w:vAlign w:val="center"/>
          </w:tcPr>
          <w:p w:rsidR="00A32D90" w:rsidRPr="002957D6" w:rsidRDefault="00A32D90" w:rsidP="005333FF">
            <w:pPr>
              <w:pStyle w:val="Table-Entry"/>
              <w:rPr>
                <w:sz w:val="24"/>
                <w:szCs w:val="24"/>
              </w:rPr>
            </w:pPr>
          </w:p>
        </w:tc>
        <w:tc>
          <w:tcPr>
            <w:tcW w:w="6023" w:type="dxa"/>
            <w:tcBorders>
              <w:top w:val="single" w:sz="4" w:space="0" w:color="054196"/>
              <w:left w:val="single" w:sz="4" w:space="0" w:color="054196"/>
              <w:bottom w:val="single" w:sz="4" w:space="0" w:color="054196"/>
              <w:right w:val="single" w:sz="4" w:space="0" w:color="054196"/>
            </w:tcBorders>
            <w:tcMar>
              <w:top w:w="0" w:type="dxa"/>
              <w:left w:w="108" w:type="dxa"/>
              <w:bottom w:w="0" w:type="dxa"/>
              <w:right w:w="108" w:type="dxa"/>
            </w:tcMar>
            <w:vAlign w:val="center"/>
          </w:tcPr>
          <w:p w:rsidR="00A32D90" w:rsidRPr="002957D6" w:rsidRDefault="00A32D90" w:rsidP="005333FF">
            <w:pPr>
              <w:pStyle w:val="Table-Entry"/>
              <w:rPr>
                <w:sz w:val="24"/>
                <w:szCs w:val="24"/>
              </w:rPr>
            </w:pPr>
          </w:p>
        </w:tc>
      </w:tr>
    </w:tbl>
    <w:p w:rsidR="00A32D90" w:rsidRPr="002957D6" w:rsidRDefault="00A32D90" w:rsidP="00A32D90">
      <w:pPr>
        <w:ind w:left="709"/>
        <w:rPr>
          <w:rFonts w:ascii="Arial" w:hAnsi="Arial" w:cs="Arial"/>
        </w:rPr>
      </w:pPr>
    </w:p>
    <w:p w:rsidR="00F725E8" w:rsidRDefault="00F725E8"/>
    <w:sectPr w:rsidR="00F725E8" w:rsidSect="005D2B17">
      <w:footerReference w:type="default" r:id="rId9"/>
      <w:pgSz w:w="11906" w:h="16838"/>
      <w:pgMar w:top="907" w:right="1416" w:bottom="1440" w:left="1134"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F5" w:rsidRDefault="003178F5">
      <w:r>
        <w:separator/>
      </w:r>
    </w:p>
  </w:endnote>
  <w:endnote w:type="continuationSeparator" w:id="0">
    <w:p w:rsidR="003178F5" w:rsidRDefault="0031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4C" w:rsidRDefault="00D46C88">
    <w:pPr>
      <w:jc w:val="right"/>
      <w:rPr>
        <w:sz w:val="20"/>
        <w:lang w:val="en-US"/>
      </w:rPr>
    </w:pPr>
    <w:r>
      <w:rPr>
        <w:sz w:val="20"/>
        <w:lang w:val="en-US"/>
      </w:rPr>
      <w:t xml:space="preserve">References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F5" w:rsidRDefault="003178F5">
      <w:r>
        <w:separator/>
      </w:r>
    </w:p>
  </w:footnote>
  <w:footnote w:type="continuationSeparator" w:id="0">
    <w:p w:rsidR="003178F5" w:rsidRDefault="00317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4477"/>
    <w:multiLevelType w:val="hybridMultilevel"/>
    <w:tmpl w:val="A246F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90"/>
    <w:rsid w:val="00063AE5"/>
    <w:rsid w:val="003178F5"/>
    <w:rsid w:val="005826E6"/>
    <w:rsid w:val="00624244"/>
    <w:rsid w:val="00844134"/>
    <w:rsid w:val="00A32D90"/>
    <w:rsid w:val="00D46C88"/>
    <w:rsid w:val="00E144EF"/>
    <w:rsid w:val="00F725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8EA6433-E8D8-486F-814A-70156AF3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9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32D90"/>
    <w:pPr>
      <w:ind w:left="709"/>
      <w:jc w:val="center"/>
    </w:pPr>
    <w:rPr>
      <w:b/>
    </w:rPr>
  </w:style>
  <w:style w:type="character" w:customStyle="1" w:styleId="SubtitleChar">
    <w:name w:val="Subtitle Char"/>
    <w:basedOn w:val="DefaultParagraphFont"/>
    <w:link w:val="Subtitle"/>
    <w:rsid w:val="00A32D90"/>
    <w:rPr>
      <w:rFonts w:ascii="Times New Roman" w:eastAsia="Times New Roman" w:hAnsi="Times New Roman" w:cs="Times New Roman"/>
      <w:b/>
      <w:sz w:val="24"/>
      <w:szCs w:val="24"/>
      <w:lang w:eastAsia="en-US"/>
    </w:rPr>
  </w:style>
  <w:style w:type="paragraph" w:styleId="ListParagraph">
    <w:name w:val="List Paragraph"/>
    <w:basedOn w:val="Normal"/>
    <w:uiPriority w:val="34"/>
    <w:qFormat/>
    <w:rsid w:val="00A32D90"/>
    <w:pPr>
      <w:spacing w:after="200" w:line="276" w:lineRule="auto"/>
      <w:ind w:left="720"/>
    </w:pPr>
    <w:rPr>
      <w:rFonts w:ascii="Calibri" w:eastAsia="Calibri" w:hAnsi="Calibri"/>
      <w:sz w:val="22"/>
      <w:szCs w:val="22"/>
    </w:rPr>
  </w:style>
  <w:style w:type="paragraph" w:customStyle="1" w:styleId="Table-ColumnHeading">
    <w:name w:val="Table - Column Heading"/>
    <w:basedOn w:val="Normal"/>
    <w:rsid w:val="00A32D90"/>
    <w:pPr>
      <w:widowControl w:val="0"/>
      <w:tabs>
        <w:tab w:val="left" w:pos="205"/>
      </w:tabs>
      <w:autoSpaceDE w:val="0"/>
      <w:autoSpaceDN w:val="0"/>
      <w:adjustRightInd w:val="0"/>
    </w:pPr>
    <w:rPr>
      <w:rFonts w:ascii="Arial" w:hAnsi="Arial" w:cs="Arial"/>
      <w:b/>
      <w:bCs/>
      <w:color w:val="FFFFFF"/>
      <w:sz w:val="22"/>
      <w:szCs w:val="18"/>
      <w:lang w:val="en-US"/>
    </w:rPr>
  </w:style>
  <w:style w:type="paragraph" w:customStyle="1" w:styleId="Table-Entry">
    <w:name w:val="Table - Entry"/>
    <w:basedOn w:val="Normal"/>
    <w:rsid w:val="00A32D90"/>
    <w:pPr>
      <w:widowControl w:val="0"/>
      <w:tabs>
        <w:tab w:val="left" w:pos="205"/>
      </w:tabs>
      <w:autoSpaceDE w:val="0"/>
      <w:autoSpaceDN w:val="0"/>
      <w:adjustRightInd w:val="0"/>
    </w:pPr>
    <w:rPr>
      <w:rFonts w:ascii="Arial" w:hAnsi="Arial" w:cs="Arial"/>
      <w:sz w:val="22"/>
      <w:szCs w:val="18"/>
      <w:lang w:val="en-US"/>
    </w:rPr>
  </w:style>
  <w:style w:type="paragraph" w:customStyle="1" w:styleId="Table-RowHeading">
    <w:name w:val="Table - Row Heading"/>
    <w:basedOn w:val="Normal"/>
    <w:rsid w:val="00A32D90"/>
    <w:pPr>
      <w:widowControl w:val="0"/>
      <w:autoSpaceDE w:val="0"/>
      <w:autoSpaceDN w:val="0"/>
      <w:adjustRightInd w:val="0"/>
    </w:pPr>
    <w:rPr>
      <w:rFonts w:ascii="Arial" w:hAnsi="Arial" w:cs="Arial"/>
      <w:sz w:val="22"/>
      <w:szCs w:val="18"/>
      <w:lang w:val="en-US"/>
    </w:rPr>
  </w:style>
  <w:style w:type="paragraph" w:styleId="NormalWeb">
    <w:name w:val="Normal (Web)"/>
    <w:basedOn w:val="Normal"/>
    <w:uiPriority w:val="99"/>
    <w:unhideWhenUsed/>
    <w:rsid w:val="00A32D90"/>
    <w:pPr>
      <w:spacing w:before="100" w:beforeAutospacing="1" w:after="100" w:afterAutospacing="1"/>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Howard</dc:creator>
  <cp:keywords/>
  <dc:description/>
  <cp:lastModifiedBy>Allyson Howard</cp:lastModifiedBy>
  <cp:revision>5</cp:revision>
  <dcterms:created xsi:type="dcterms:W3CDTF">2017-09-06T22:29:00Z</dcterms:created>
  <dcterms:modified xsi:type="dcterms:W3CDTF">2017-09-13T03:01:00Z</dcterms:modified>
</cp:coreProperties>
</file>